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520FE">
      <w:pPr>
        <w:spacing w:line="370" w:lineRule="auto"/>
        <w:ind w:right="960"/>
        <w:jc w:val="center"/>
        <w:rPr>
          <w:rFonts w:ascii="黑体" w:hAnsi="黑体" w:eastAsia="黑体" w:cs="Times New Roman"/>
          <w:b/>
          <w:bCs/>
          <w:sz w:val="28"/>
          <w:szCs w:val="28"/>
        </w:rPr>
      </w:pPr>
      <w:r>
        <w:rPr>
          <w:rFonts w:hint="eastAsia" w:ascii="黑体" w:hAnsi="黑体" w:eastAsia="黑体" w:cs="Times New Roman"/>
          <w:b/>
          <w:bCs/>
          <w:sz w:val="28"/>
          <w:szCs w:val="28"/>
        </w:rPr>
        <w:t>附件二：《膜科学与技术》投稿模板</w:t>
      </w:r>
      <w:bookmarkStart w:id="0" w:name="_GoBack"/>
      <w:bookmarkEnd w:id="0"/>
    </w:p>
    <w:p w14:paraId="47EF92CE"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题目</w:t>
      </w:r>
      <w:r>
        <w:rPr>
          <w:rFonts w:hint="eastAsia" w:asciiTheme="majorEastAsia" w:hAnsiTheme="majorEastAsia" w:eastAsiaTheme="majorEastAsia"/>
          <w:color w:val="FF0000"/>
          <w:sz w:val="44"/>
          <w:szCs w:val="44"/>
        </w:rPr>
        <w:t>（2号，标题宋体）</w:t>
      </w:r>
      <w:r>
        <w:rPr>
          <w:rFonts w:hint="eastAsia" w:asciiTheme="majorEastAsia" w:hAnsiTheme="majorEastAsia" w:eastAsiaTheme="majorEastAsia"/>
          <w:color w:val="4F81BD" w:themeColor="accent1"/>
          <w:sz w:val="44"/>
          <w:szCs w:val="44"/>
          <w14:textFill>
            <w14:solidFill>
              <w14:schemeClr w14:val="accent1"/>
            </w14:solidFill>
          </w14:textFill>
        </w:rPr>
        <w:t>少于20字</w:t>
      </w:r>
    </w:p>
    <w:p w14:paraId="4CDFBD34">
      <w:pPr>
        <w:jc w:val="center"/>
        <w:rPr>
          <w:rFonts w:ascii="楷体_GB2312" w:eastAsia="楷体_GB2312"/>
          <w:color w:val="4F81BD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w:rPr>
          <w:rFonts w:hint="eastAsia" w:ascii="楷体_GB2312" w:eastAsia="楷体_GB2312"/>
          <w:sz w:val="28"/>
          <w:szCs w:val="28"/>
        </w:rPr>
        <w:t>作者</w:t>
      </w:r>
      <w:r>
        <w:rPr>
          <w:rFonts w:ascii="楷体_GB2312" w:eastAsia="楷体_GB2312"/>
          <w:sz w:val="28"/>
          <w:szCs w:val="28"/>
          <w:vertAlign w:val="superscript"/>
        </w:rPr>
        <w:footnoteReference w:id="0" w:customMarkFollows="1"/>
        <w:sym w:font="Symbol" w:char="F020"/>
      </w:r>
      <w:r>
        <w:rPr>
          <w:rFonts w:hint="eastAsia" w:ascii="楷体_GB2312" w:eastAsia="楷体_GB2312"/>
          <w:color w:val="FF0000"/>
          <w:sz w:val="28"/>
          <w:szCs w:val="28"/>
        </w:rPr>
        <w:t>（4号，楷体）</w:t>
      </w:r>
      <w:r>
        <w:rPr>
          <w:rFonts w:hint="eastAsia" w:ascii="楷体_GB2312" w:eastAsia="楷体_GB2312"/>
          <w:color w:val="4F81BD" w:themeColor="accent1"/>
          <w:sz w:val="28"/>
          <w:szCs w:val="28"/>
          <w14:textFill>
            <w14:solidFill>
              <w14:schemeClr w14:val="accent1"/>
            </w14:solidFill>
          </w14:textFill>
        </w:rPr>
        <w:t>（作者之间用逗号“，”隔开，通讯作者右上角加星标“*”）</w:t>
      </w:r>
    </w:p>
    <w:p w14:paraId="3E6A61F6">
      <w:pPr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单位</w:t>
      </w:r>
      <w:r>
        <w:rPr>
          <w:rFonts w:hint="eastAsia" w:asciiTheme="minorEastAsia" w:hAnsiTheme="minorEastAsia"/>
          <w:color w:val="FF0000"/>
        </w:rPr>
        <w:t>（5号，宋体）</w:t>
      </w:r>
      <w:r>
        <w:rPr>
          <w:rFonts w:hint="eastAsia" w:asciiTheme="minorEastAsia" w:hAnsiTheme="minorEastAsia"/>
          <w:color w:val="4F81BD" w:themeColor="accent1"/>
          <w14:textFill>
            <w14:solidFill>
              <w14:schemeClr w14:val="accent1"/>
            </w14:solidFill>
          </w14:textFill>
        </w:rPr>
        <w:t>（单位包括工作单位全称、所在省市名（省会城市可略去省名）及邮政编码；单位名称与省市名之间应以逗号分隔，邮编和省市之间空一格；整个数据项用圆括号括起）</w:t>
      </w:r>
    </w:p>
    <w:p w14:paraId="123CEDB1"/>
    <w:p w14:paraId="4677522D">
      <w:r>
        <w:rPr>
          <w:rFonts w:hint="eastAsia"/>
        </w:rPr>
        <w:t>摘要：</w:t>
      </w: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须采用报道性摘要编写形式，要求：</w:t>
      </w:r>
      <w:r>
        <w:rPr>
          <w:rFonts w:hint="eastAsia"/>
          <w:color w:val="FF0000"/>
        </w:rPr>
        <w:t>完整，必须含有研究的目的、方法、结果及结论；简洁</w:t>
      </w: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，排除常识内容，避免重复题目；</w:t>
      </w:r>
      <w:r>
        <w:rPr>
          <w:rFonts w:hint="eastAsia"/>
          <w:color w:val="FF0000"/>
        </w:rPr>
        <w:t>独立</w:t>
      </w: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，不得引用文中参考文献号、图号和公式号；</w:t>
      </w:r>
      <w:r>
        <w:rPr>
          <w:rFonts w:hint="eastAsia"/>
          <w:color w:val="FF0000"/>
        </w:rPr>
        <w:t>具体</w:t>
      </w: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，尽量用具体数字来说明该项工作取得的进展或成效，例如某项性能指标提高了百分之多少，避免“效果很好”这类的含糊其辞。</w:t>
      </w:r>
    </w:p>
    <w:p w14:paraId="6A986EFF"/>
    <w:p w14:paraId="74E726FE">
      <w:pPr>
        <w:rPr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</w:rPr>
        <w:t>关键词：</w:t>
      </w: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从论文中提取的，表示论文主题内容信息条目的词组或术语，一般为3～8个。</w:t>
      </w:r>
    </w:p>
    <w:p w14:paraId="62CFCFDD">
      <w:pPr>
        <w:rPr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</w:rPr>
        <w:t>中图分类号：</w:t>
      </w: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由论文的内容确定的，分为22个大类。可到图书馆或在网上查询。</w:t>
      </w:r>
    </w:p>
    <w:p w14:paraId="59663936">
      <w:r>
        <w:rPr>
          <w:rFonts w:hint="eastAsia"/>
        </w:rPr>
        <w:t>文献标志码：              文章编号：</w:t>
      </w:r>
    </w:p>
    <w:p w14:paraId="41ADA3FC">
      <w:r>
        <w:rPr>
          <w:rFonts w:hint="eastAsia"/>
        </w:rPr>
        <w:t>doi：</w:t>
      </w:r>
    </w:p>
    <w:p w14:paraId="3D78CC72"/>
    <w:p w14:paraId="5E47F958">
      <w:pPr>
        <w:ind w:firstLine="420" w:firstLineChars="200"/>
        <w:rPr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可按“研究意义（学术价值或经济意义）、前人研究进展（与本项研究有关的主要作者的最主要进展，应尽可能高度概括地列出）、本研究切入点（前人研究的空白点或薄弱环节），拟解决的关键问题”展开。阐述前人研究进展时须有文献支持，国外文献不可忽略。不能与摘要雷同。一般不接受没有进行国际检索、没有引用国际文献的论文。</w:t>
      </w:r>
    </w:p>
    <w:p w14:paraId="0A358D33">
      <w:pPr>
        <w:ind w:firstLine="420" w:firstLineChars="200"/>
      </w:pPr>
    </w:p>
    <w:p w14:paraId="4376840A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1实验</w:t>
      </w:r>
      <w:r>
        <w:rPr>
          <w:rFonts w:hint="eastAsia" w:ascii="仿宋_GB2312" w:eastAsia="仿宋_GB2312"/>
          <w:color w:val="FF0000"/>
          <w:sz w:val="28"/>
          <w:szCs w:val="28"/>
        </w:rPr>
        <w:t>（四号仿宋）</w:t>
      </w:r>
    </w:p>
    <w:p w14:paraId="34B45B69">
      <w:pPr>
        <w:ind w:firstLine="420" w:firstLineChars="200"/>
        <w:rPr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应写清楚实验时间、地点、材料与条件的代表性及具体名称、试验规模（样本容量）、设计思路、设计方法、重复次数、试验仪器、药品及规格、统计方法，等等。</w:t>
      </w:r>
    </w:p>
    <w:p w14:paraId="06239494">
      <w:pPr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1.1二级标题（五号黑体）</w:t>
      </w:r>
    </w:p>
    <w:p w14:paraId="1E07A58B">
      <w:r>
        <w:rPr>
          <w:rFonts w:hint="eastAsia"/>
        </w:rPr>
        <w:t>1.1.1三级标题</w:t>
      </w:r>
    </w:p>
    <w:p w14:paraId="26668CAE"/>
    <w:p w14:paraId="472FB81E"/>
    <w:p w14:paraId="0CB726A0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2结果与讨论</w:t>
      </w:r>
    </w:p>
    <w:p w14:paraId="695185CA">
      <w:pPr>
        <w:ind w:firstLine="420" w:firstLineChars="200"/>
        <w:jc w:val="left"/>
        <w:rPr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先写重要的结果再写次要的，变化要明确写出变化趋势和特点，没有影响的因素也要简要说明。以图或表等手段整理实验结果，并对结果进行分析和讨论，包括：通过数理统计和误差分析说明结果的可靠性、可重复性、范围等；进行实验结果与理论计算结果的比较（包括不正常现象和数据的分析）；结果部分的讨论（结果直接相关部分，如讨论内容涉及全篇，应留在讨论部分进行）。</w:t>
      </w:r>
    </w:p>
    <w:p w14:paraId="77868307">
      <w:pPr>
        <w:jc w:val="center"/>
        <w:rPr>
          <w:color w:val="4F81BD" w:themeColor="accent1"/>
          <w14:textFill>
            <w14:solidFill>
              <w14:schemeClr w14:val="accent1"/>
            </w14:solidFill>
          </w14:textFill>
        </w:rPr>
      </w:pPr>
    </w:p>
    <w:p w14:paraId="7E5D8BEA">
      <w:pPr>
        <w:jc w:val="center"/>
        <w:rPr>
          <w:color w:val="4F81BD" w:themeColor="accent1"/>
          <w14:textFill>
            <w14:solidFill>
              <w14:schemeClr w14:val="accent1"/>
            </w14:solidFill>
          </w14:textFill>
        </w:rPr>
      </w:pPr>
    </w:p>
    <w:p w14:paraId="65CD9142">
      <w:pPr>
        <w:jc w:val="center"/>
        <w:rPr>
          <w:color w:val="4F81BD" w:themeColor="accent1"/>
          <w14:textFill>
            <w14:solidFill>
              <w14:schemeClr w14:val="accent1"/>
            </w14:solidFill>
          </w14:textFill>
        </w:rPr>
      </w:pPr>
    </w:p>
    <w:p w14:paraId="1A4A778E">
      <w:pPr>
        <w:jc w:val="center"/>
        <w:rPr>
          <w:rFonts w:ascii="楷体_GB2312" w:eastAsia="楷体_GB2312"/>
          <w:color w:val="000000"/>
          <w:szCs w:val="21"/>
        </w:rPr>
      </w:pPr>
      <w:r>
        <w:rPr>
          <w:rFonts w:hint="eastAsia" w:ascii="楷体_GB2312" w:eastAsia="楷体_GB2312"/>
          <w:color w:val="000000"/>
          <w:szCs w:val="21"/>
        </w:rPr>
        <w:t>表</w:t>
      </w:r>
      <w:r>
        <w:rPr>
          <w:rFonts w:hint="eastAsia" w:ascii="楷体_GB2312" w:eastAsia="楷体_GB2312"/>
          <w:b/>
          <w:bCs/>
          <w:color w:val="000000"/>
          <w:szCs w:val="21"/>
        </w:rPr>
        <w:t>1</w:t>
      </w:r>
      <w:r>
        <w:rPr>
          <w:rFonts w:hint="eastAsia" w:ascii="楷体_GB2312" w:eastAsia="楷体_GB2312"/>
          <w:color w:val="000000"/>
          <w:szCs w:val="21"/>
        </w:rPr>
        <w:t xml:space="preserve">  XXXXXXXXXX</w:t>
      </w:r>
      <w:r>
        <w:rPr>
          <w:rFonts w:hint="eastAsia" w:ascii="楷体_GB2312" w:eastAsia="楷体_GB2312"/>
          <w:color w:val="FF0000"/>
          <w:szCs w:val="21"/>
        </w:rPr>
        <w:t>(中文表题五号楷体，表格内容为小五号宋体)</w:t>
      </w:r>
    </w:p>
    <w:p w14:paraId="35D94F9D">
      <w:pPr>
        <w:jc w:val="center"/>
        <w:rPr>
          <w:color w:val="FF0000"/>
          <w:lang w:val="en-GB"/>
        </w:rPr>
      </w:pPr>
      <w:r>
        <w:rPr>
          <w:rFonts w:ascii="Times New Roman" w:hAnsi="Times New Roman" w:eastAsia="黑体" w:cs="Times New Roman"/>
          <w:color w:val="000000"/>
          <w:szCs w:val="21"/>
        </w:rPr>
        <w:t>Table 1 XXXXXXXXXXX</w:t>
      </w:r>
      <w:r>
        <w:rPr>
          <w:rFonts w:hint="eastAsia"/>
          <w:color w:val="FF0000"/>
          <w:szCs w:val="21"/>
          <w:lang w:val="en-GB"/>
        </w:rPr>
        <w:t>(表题英文对照五号</w:t>
      </w:r>
      <w:r>
        <w:rPr>
          <w:rFonts w:hint="eastAsia"/>
          <w:color w:val="FF0000"/>
        </w:rPr>
        <w:t>Times New Roman</w:t>
      </w:r>
      <w:r>
        <w:rPr>
          <w:rFonts w:hint="eastAsia"/>
          <w:color w:val="FF0000"/>
          <w:szCs w:val="21"/>
          <w:lang w:val="en-GB"/>
        </w:rPr>
        <w:t>)</w:t>
      </w:r>
    </w:p>
    <w:tbl>
      <w:tblPr>
        <w:tblStyle w:val="19"/>
        <w:tblW w:w="963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1188"/>
        <w:gridCol w:w="1274"/>
        <w:gridCol w:w="1486"/>
        <w:gridCol w:w="1993"/>
        <w:gridCol w:w="1423"/>
      </w:tblGrid>
      <w:tr w14:paraId="56CAB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180" w:type="pct"/>
            <w:vMerge w:val="restart"/>
            <w:tcBorders>
              <w:top w:val="single" w:color="008080" w:sz="8" w:space="0"/>
            </w:tcBorders>
            <w:shd w:val="clear" w:color="auto" w:fill="FFFFFF"/>
            <w:vAlign w:val="center"/>
          </w:tcPr>
          <w:p w14:paraId="6CD00962">
            <w:pPr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表格内容</w:t>
            </w:r>
          </w:p>
        </w:tc>
        <w:tc>
          <w:tcPr>
            <w:tcW w:w="2048" w:type="pct"/>
            <w:gridSpan w:val="3"/>
            <w:tcBorders>
              <w:top w:val="single" w:color="008080" w:sz="8" w:space="0"/>
              <w:bottom w:val="single" w:color="008080" w:sz="4" w:space="0"/>
            </w:tcBorders>
            <w:shd w:val="clear" w:color="auto" w:fill="FFFFFF"/>
            <w:noWrap/>
            <w:vAlign w:val="center"/>
          </w:tcPr>
          <w:p w14:paraId="0404DC28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表格内容（居中）</w:t>
            </w:r>
          </w:p>
        </w:tc>
        <w:tc>
          <w:tcPr>
            <w:tcW w:w="1034" w:type="pct"/>
            <w:vMerge w:val="restart"/>
            <w:tcBorders>
              <w:top w:val="single" w:color="008080" w:sz="8" w:space="0"/>
            </w:tcBorders>
            <w:shd w:val="clear" w:color="auto" w:fill="FFFFFF"/>
            <w:noWrap/>
            <w:vAlign w:val="center"/>
          </w:tcPr>
          <w:p w14:paraId="497E9F35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表格内容</w:t>
            </w:r>
          </w:p>
        </w:tc>
        <w:tc>
          <w:tcPr>
            <w:tcW w:w="738" w:type="pct"/>
            <w:vMerge w:val="restart"/>
            <w:tcBorders>
              <w:top w:val="single" w:color="008080" w:sz="8" w:space="0"/>
            </w:tcBorders>
            <w:shd w:val="clear" w:color="auto" w:fill="FFFFFF"/>
            <w:noWrap/>
            <w:vAlign w:val="center"/>
          </w:tcPr>
          <w:p w14:paraId="19AE8255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表格内容</w:t>
            </w:r>
          </w:p>
        </w:tc>
      </w:tr>
      <w:tr w14:paraId="40AE1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180" w:type="pct"/>
            <w:vMerge w:val="continue"/>
            <w:tcBorders>
              <w:bottom w:val="single" w:color="008080" w:sz="4" w:space="0"/>
            </w:tcBorders>
            <w:shd w:val="clear" w:color="auto" w:fill="FFFFFF"/>
            <w:vAlign w:val="center"/>
          </w:tcPr>
          <w:p w14:paraId="3982E4E2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color="008080" w:sz="4" w:space="0"/>
              <w:bottom w:val="single" w:color="008080" w:sz="4" w:space="0"/>
            </w:tcBorders>
            <w:shd w:val="clear" w:color="auto" w:fill="FFFFFF"/>
            <w:vAlign w:val="center"/>
          </w:tcPr>
          <w:p w14:paraId="6D93923B">
            <w:pPr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表格内容</w:t>
            </w:r>
          </w:p>
        </w:tc>
        <w:tc>
          <w:tcPr>
            <w:tcW w:w="661" w:type="pct"/>
            <w:tcBorders>
              <w:top w:val="single" w:color="008080" w:sz="4" w:space="0"/>
              <w:bottom w:val="single" w:color="008080" w:sz="4" w:space="0"/>
            </w:tcBorders>
            <w:shd w:val="clear" w:color="auto" w:fill="FFFFFF"/>
            <w:vAlign w:val="center"/>
          </w:tcPr>
          <w:p w14:paraId="515DE35C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表格内容</w:t>
            </w:r>
          </w:p>
        </w:tc>
        <w:tc>
          <w:tcPr>
            <w:tcW w:w="771" w:type="pct"/>
            <w:tcBorders>
              <w:top w:val="single" w:color="008080" w:sz="4" w:space="0"/>
              <w:bottom w:val="single" w:color="008080" w:sz="4" w:space="0"/>
            </w:tcBorders>
            <w:shd w:val="clear" w:color="auto" w:fill="FFFFFF"/>
            <w:vAlign w:val="center"/>
          </w:tcPr>
          <w:p w14:paraId="19E81911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表格内容</w:t>
            </w:r>
          </w:p>
        </w:tc>
        <w:tc>
          <w:tcPr>
            <w:tcW w:w="1034" w:type="pct"/>
            <w:vMerge w:val="continue"/>
            <w:tcBorders>
              <w:bottom w:val="single" w:color="008080" w:sz="4" w:space="0"/>
            </w:tcBorders>
            <w:shd w:val="clear" w:color="auto" w:fill="FFFFFF"/>
            <w:vAlign w:val="center"/>
          </w:tcPr>
          <w:p w14:paraId="78165014">
            <w:pPr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738" w:type="pct"/>
            <w:vMerge w:val="continue"/>
            <w:tcBorders>
              <w:bottom w:val="single" w:color="008080" w:sz="4" w:space="0"/>
            </w:tcBorders>
            <w:shd w:val="clear" w:color="auto" w:fill="FFFFFF"/>
            <w:noWrap/>
            <w:vAlign w:val="center"/>
          </w:tcPr>
          <w:p w14:paraId="0B0B043B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29069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80" w:type="pct"/>
            <w:tcBorders>
              <w:top w:val="single" w:color="008080" w:sz="4" w:space="0"/>
              <w:bottom w:val="single" w:color="FFFFFF" w:sz="12" w:space="0"/>
            </w:tcBorders>
            <w:vAlign w:val="center"/>
          </w:tcPr>
          <w:p w14:paraId="71381E5C">
            <w:pPr>
              <w:jc w:val="left"/>
              <w:rPr>
                <w:rFonts w:ascii="宋体" w:hAnsi="宋体"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表格内容</w:t>
            </w:r>
          </w:p>
        </w:tc>
        <w:tc>
          <w:tcPr>
            <w:tcW w:w="616" w:type="pct"/>
            <w:tcBorders>
              <w:top w:val="single" w:color="008080" w:sz="4" w:space="0"/>
              <w:bottom w:val="single" w:color="FFFFFF" w:sz="12" w:space="0"/>
            </w:tcBorders>
            <w:vAlign w:val="center"/>
          </w:tcPr>
          <w:p w14:paraId="10F1B46C">
            <w:pPr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表格内容</w:t>
            </w:r>
          </w:p>
        </w:tc>
        <w:tc>
          <w:tcPr>
            <w:tcW w:w="661" w:type="pct"/>
            <w:tcBorders>
              <w:top w:val="single" w:color="008080" w:sz="4" w:space="0"/>
              <w:bottom w:val="single" w:color="FFFFFF" w:sz="12" w:space="0"/>
            </w:tcBorders>
            <w:vAlign w:val="center"/>
          </w:tcPr>
          <w:p w14:paraId="23A35699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表格内容</w:t>
            </w:r>
          </w:p>
        </w:tc>
        <w:tc>
          <w:tcPr>
            <w:tcW w:w="771" w:type="pct"/>
            <w:tcBorders>
              <w:top w:val="single" w:color="008080" w:sz="4" w:space="0"/>
              <w:bottom w:val="single" w:color="FFFFFF" w:sz="12" w:space="0"/>
            </w:tcBorders>
            <w:noWrap/>
            <w:vAlign w:val="center"/>
          </w:tcPr>
          <w:p w14:paraId="4C3DEA5F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表格内容</w:t>
            </w:r>
          </w:p>
        </w:tc>
        <w:tc>
          <w:tcPr>
            <w:tcW w:w="1034" w:type="pct"/>
            <w:tcBorders>
              <w:top w:val="single" w:color="008080" w:sz="4" w:space="0"/>
              <w:bottom w:val="single" w:color="FFFFFF" w:sz="12" w:space="0"/>
            </w:tcBorders>
            <w:noWrap/>
            <w:vAlign w:val="center"/>
          </w:tcPr>
          <w:p w14:paraId="7E552097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表格内容</w:t>
            </w:r>
          </w:p>
        </w:tc>
        <w:tc>
          <w:tcPr>
            <w:tcW w:w="738" w:type="pct"/>
            <w:tcBorders>
              <w:top w:val="single" w:color="008080" w:sz="4" w:space="0"/>
              <w:bottom w:val="single" w:color="FFFFFF" w:sz="12" w:space="0"/>
            </w:tcBorders>
            <w:noWrap/>
            <w:vAlign w:val="center"/>
          </w:tcPr>
          <w:p w14:paraId="22D03825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表格内容</w:t>
            </w:r>
          </w:p>
        </w:tc>
      </w:tr>
      <w:tr w14:paraId="6B025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80" w:type="pct"/>
            <w:tcBorders>
              <w:top w:val="single" w:color="FFFFFF" w:sz="12" w:space="0"/>
              <w:bottom w:val="single" w:color="008080" w:sz="8" w:space="0"/>
            </w:tcBorders>
            <w:vAlign w:val="center"/>
          </w:tcPr>
          <w:p w14:paraId="7DD57BA9">
            <w:pPr>
              <w:jc w:val="left"/>
              <w:rPr>
                <w:rFonts w:ascii="宋体" w:hAnsi="宋体" w:eastAsia="宋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表格内容</w:t>
            </w:r>
          </w:p>
        </w:tc>
        <w:tc>
          <w:tcPr>
            <w:tcW w:w="616" w:type="pct"/>
            <w:tcBorders>
              <w:top w:val="single" w:color="FFFFFF" w:sz="12" w:space="0"/>
              <w:bottom w:val="single" w:color="008080" w:sz="8" w:space="0"/>
            </w:tcBorders>
            <w:vAlign w:val="center"/>
          </w:tcPr>
          <w:p w14:paraId="01F5F0C5">
            <w:pPr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表格内容</w:t>
            </w:r>
          </w:p>
        </w:tc>
        <w:tc>
          <w:tcPr>
            <w:tcW w:w="661" w:type="pct"/>
            <w:tcBorders>
              <w:top w:val="single" w:color="FFFFFF" w:sz="12" w:space="0"/>
              <w:bottom w:val="single" w:color="008080" w:sz="8" w:space="0"/>
            </w:tcBorders>
            <w:vAlign w:val="center"/>
          </w:tcPr>
          <w:p w14:paraId="5322581C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表格内容</w:t>
            </w:r>
          </w:p>
        </w:tc>
        <w:tc>
          <w:tcPr>
            <w:tcW w:w="771" w:type="pct"/>
            <w:tcBorders>
              <w:top w:val="single" w:color="FFFFFF" w:sz="12" w:space="0"/>
              <w:bottom w:val="single" w:color="008080" w:sz="8" w:space="0"/>
            </w:tcBorders>
            <w:noWrap/>
            <w:vAlign w:val="center"/>
          </w:tcPr>
          <w:p w14:paraId="679AF9E5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表格内容</w:t>
            </w:r>
          </w:p>
        </w:tc>
        <w:tc>
          <w:tcPr>
            <w:tcW w:w="1034" w:type="pct"/>
            <w:tcBorders>
              <w:top w:val="single" w:color="FFFFFF" w:sz="12" w:space="0"/>
              <w:bottom w:val="single" w:color="008080" w:sz="8" w:space="0"/>
            </w:tcBorders>
            <w:noWrap/>
            <w:vAlign w:val="center"/>
          </w:tcPr>
          <w:p w14:paraId="3F71C139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表格内容</w:t>
            </w:r>
          </w:p>
        </w:tc>
        <w:tc>
          <w:tcPr>
            <w:tcW w:w="738" w:type="pct"/>
            <w:tcBorders>
              <w:top w:val="single" w:color="FFFFFF" w:sz="12" w:space="0"/>
              <w:bottom w:val="single" w:color="008080" w:sz="8" w:space="0"/>
            </w:tcBorders>
            <w:noWrap/>
            <w:vAlign w:val="center"/>
          </w:tcPr>
          <w:p w14:paraId="0A0E8B4A"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表格内容</w:t>
            </w:r>
          </w:p>
        </w:tc>
      </w:tr>
    </w:tbl>
    <w:p w14:paraId="54126595">
      <w:pPr>
        <w:jc w:val="left"/>
        <w:rPr>
          <w:rFonts w:ascii="宋体" w:hAnsi="宋体" w:eastAsia="宋体"/>
          <w:color w:val="000000"/>
          <w:sz w:val="15"/>
          <w:szCs w:val="15"/>
        </w:rPr>
      </w:pPr>
      <w:r>
        <w:rPr>
          <w:rFonts w:ascii="宋体" w:hAnsi="宋体" w:eastAsia="宋体"/>
          <w:color w:val="000000"/>
          <w:sz w:val="18"/>
          <w:szCs w:val="18"/>
        </w:rPr>
        <w:t>注：</w:t>
      </w:r>
      <w:r>
        <w:rPr>
          <w:rFonts w:hint="eastAsia" w:ascii="宋体" w:hAnsi="宋体" w:eastAsia="宋体"/>
          <w:color w:val="000000"/>
          <w:sz w:val="18"/>
          <w:szCs w:val="18"/>
        </w:rPr>
        <w:t>表格内容。</w:t>
      </w:r>
      <w:r>
        <w:rPr>
          <w:rFonts w:hint="eastAsia"/>
          <w:color w:val="FF0000"/>
          <w:sz w:val="18"/>
          <w:lang w:val="en-GB"/>
        </w:rPr>
        <w:t>（中文表注小五号，宋体，居左。）</w:t>
      </w:r>
    </w:p>
    <w:p w14:paraId="60CFDDC4">
      <w:pPr>
        <w:ind w:firstLine="420" w:firstLineChars="200"/>
        <w:rPr>
          <w:color w:val="4F81BD" w:themeColor="accent1"/>
          <w14:textFill>
            <w14:solidFill>
              <w14:schemeClr w14:val="accent1"/>
            </w14:solidFill>
          </w14:textFill>
        </w:rPr>
      </w:pPr>
    </w:p>
    <w:p w14:paraId="217BA3D6"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2618740" cy="1939925"/>
            <wp:effectExtent l="0" t="0" r="0" b="3175"/>
            <wp:docPr id="1496686158" name="图片 1496686158" descr="C:\Documents and Settings\Administrator\Application Data\Tencent\Users\287489173\QQ\WinTemp\RichOle\A{%9%T77[UXK2~0XNGP7YN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686158" name="图片 1496686158" descr="C:\Documents and Settings\Administrator\Application Data\Tencent\Users\287489173\QQ\WinTemp\RichOle\A{%9%T77[UXK2~0XNGP7YN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8985" cy="1940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91758">
      <w:pPr>
        <w:widowControl/>
        <w:jc w:val="center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</w:rPr>
        <w:t>图 6 不同操作压力下GO-PA和PA复合膜的纯水通量</w:t>
      </w:r>
    </w:p>
    <w:p w14:paraId="52115333">
      <w:pPr>
        <w:widowControl/>
        <w:jc w:val="center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 w:val="18"/>
          <w:szCs w:val="18"/>
        </w:rPr>
        <w:t>Fig. 6. The pure water flux of GO-PA and PA membrane under different pressures</w:t>
      </w:r>
    </w:p>
    <w:p w14:paraId="7DB1A942">
      <w:pPr>
        <w:rPr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需要注意的是，表图内内容、标注等均为中文</w:t>
      </w:r>
    </w:p>
    <w:p w14:paraId="23B75219">
      <w:pPr>
        <w:rPr>
          <w:color w:val="4F81BD" w:themeColor="accent1"/>
          <w14:textFill>
            <w14:solidFill>
              <w14:schemeClr w14:val="accent1"/>
            </w14:solidFill>
          </w14:textFill>
        </w:rPr>
      </w:pPr>
    </w:p>
    <w:p w14:paraId="4AD54C24">
      <w:pPr>
        <w:rPr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公式格式参考如下：</w:t>
      </w:r>
    </w:p>
    <w:p w14:paraId="73D6F0B8">
      <w:pPr>
        <w:ind w:firstLine="420" w:firstLineChars="200"/>
        <w:rPr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一般不编排单独的符号表，对于公式中的变量含义需要说明的，请在公式后的段落中，采用“式中：A为某某，B为某某”的方式加以说明。变量使用斜体。</w:t>
      </w:r>
    </w:p>
    <w:p w14:paraId="17DDB569">
      <w:pPr>
        <w:rPr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文中单位用正体，图表中单位用指数形式，如J•kg</w:t>
      </w:r>
      <w:r>
        <w:rPr>
          <w:rFonts w:hint="eastAsia"/>
          <w:color w:val="4F81BD" w:themeColor="accent1"/>
          <w:vertAlign w:val="superscript"/>
          <w14:textFill>
            <w14:solidFill>
              <w14:schemeClr w14:val="accent1"/>
            </w14:solidFill>
          </w14:textFill>
        </w:rPr>
        <w:t>-1</w:t>
      </w: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，正文中单位用J/kg形式。数字与单位之间加空格。图表中物理量与单位间用斜线。</w:t>
      </w:r>
    </w:p>
    <w:p w14:paraId="2F854CA5">
      <w:pPr>
        <w:rPr>
          <w:b/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color w:val="4F81BD" w:themeColor="accent1"/>
          <w14:textFill>
            <w14:solidFill>
              <w14:schemeClr w14:val="accent1"/>
            </w14:solidFill>
          </w14:textFill>
        </w:rPr>
        <w:t>例如：</w:t>
      </w:r>
    </w:p>
    <w:p w14:paraId="27DA2511">
      <w:pPr>
        <w:ind w:firstLine="420" w:firstLineChars="200"/>
      </w:pPr>
      <w:r>
        <w:rPr>
          <w:rFonts w:hint="eastAsia"/>
        </w:rPr>
        <w:t>实验主要考察酸回收率、铝截留率以及回收酸浓度。酸回收率（ ）和铝离子截留率（ ）的计算公式如式（1）和式（2）所示。</w:t>
      </w:r>
    </w:p>
    <w:p w14:paraId="76CCCFD2">
      <w:pPr>
        <w:wordWrap w:val="0"/>
        <w:spacing w:line="300" w:lineRule="auto"/>
        <w:ind w:firstLine="424" w:firstLineChars="20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32"/>
        </w:rPr>
        <w:object>
          <v:shape id="_x0000_i1025" o:spt="75" type="#_x0000_t75" style="height:31.8pt;width:142.6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  <w:r>
        <w:rPr>
          <w:rFonts w:ascii="Times New Roman" w:hAnsi="Times New Roman" w:cs="Times New Roman"/>
        </w:rPr>
        <w:t xml:space="preserve">                    </w:t>
      </w:r>
      <w:r>
        <w:rPr>
          <w:rFonts w:hint="eastAsia"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hint="eastAsia" w:ascii="Times New Roman" w:hAnsi="Times New Roman" w:cs="Times New Roman"/>
        </w:rPr>
        <w:t>）</w:t>
      </w:r>
    </w:p>
    <w:p w14:paraId="2A4D928B">
      <w:pPr>
        <w:wordWrap w:val="0"/>
        <w:spacing w:line="300" w:lineRule="auto"/>
        <w:ind w:firstLine="424" w:firstLineChars="20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32"/>
        </w:rPr>
        <w:object>
          <v:shape id="_x0000_i1026" o:spt="75" type="#_x0000_t75" style="height:33.5pt;width:166.7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8">
            <o:LockedField>false</o:LockedField>
          </o:OLEObject>
        </w:object>
      </w:r>
      <w:r>
        <w:rPr>
          <w:rFonts w:ascii="Times New Roman" w:hAnsi="Times New Roman" w:cs="Times New Roman"/>
        </w:rPr>
        <w:t xml:space="preserve">                 </w:t>
      </w:r>
      <w:r>
        <w:rPr>
          <w:rFonts w:hint="eastAsia"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hint="eastAsia" w:ascii="Times New Roman" w:hAnsi="Times New Roman" w:cs="Times New Roman"/>
        </w:rPr>
        <w:t>）</w:t>
      </w:r>
    </w:p>
    <w:p w14:paraId="7CFB9DA8">
      <w:r>
        <w:rPr>
          <w:rFonts w:hint="eastAsia"/>
        </w:rPr>
        <w:t>式中，</w:t>
      </w:r>
      <w:r>
        <w:rPr>
          <w:rFonts w:ascii="Times New Roman" w:hAnsi="Times New Roman" w:cs="Times New Roman"/>
          <w:kern w:val="0"/>
          <w:position w:val="-14"/>
        </w:rPr>
        <w:object>
          <v:shape id="_x0000_i1027" o:spt="75" type="#_x0000_t75" style="height:19.1pt;width:25.1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0">
            <o:LockedField>false</o:LockedField>
          </o:OLEObject>
        </w:object>
      </w:r>
      <w:r>
        <w:rPr>
          <w:rFonts w:hint="eastAsia" w:ascii="Times New Roman" w:hAnsi="Times New Roman" w:cs="Times New Roman"/>
          <w:kern w:val="0"/>
        </w:rPr>
        <w:t>、</w:t>
      </w:r>
      <w:r>
        <w:rPr>
          <w:rFonts w:ascii="Times New Roman" w:hAnsi="Times New Roman" w:cs="Times New Roman"/>
          <w:kern w:val="0"/>
          <w:position w:val="-14"/>
        </w:rPr>
        <w:object>
          <v:shape id="_x0000_i1028" o:spt="75" type="#_x0000_t75" style="height:19.1pt;width:23.1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2">
            <o:LockedField>false</o:LockedField>
          </o:OLEObject>
        </w:object>
      </w:r>
      <w:r>
        <w:rPr>
          <w:rFonts w:hint="eastAsia" w:ascii="Times New Roman" w:hAnsi="Times New Roman" w:cs="Times New Roman"/>
          <w:kern w:val="0"/>
        </w:rPr>
        <w:t>、</w:t>
      </w:r>
      <w:r>
        <w:rPr>
          <w:rFonts w:ascii="Times New Roman" w:hAnsi="Times New Roman" w:cs="Times New Roman"/>
          <w:kern w:val="0"/>
          <w:position w:val="-14"/>
        </w:rPr>
        <w:object>
          <v:shape id="_x0000_i1029" o:spt="75" type="#_x0000_t75" style="height:19.1pt;width:25.1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4">
            <o:LockedField>false</o:LockedField>
          </o:OLEObject>
        </w:object>
      </w:r>
      <w:r>
        <w:rPr>
          <w:rFonts w:hint="eastAsia"/>
        </w:rPr>
        <w:t>分别是回收酸、渗余液和硝酸废液中的氢离子浓度，mol/L；</w:t>
      </w:r>
      <w:r>
        <w:rPr>
          <w:rFonts w:ascii="Times New Roman" w:hAnsi="Times New Roman" w:cs="Times New Roman"/>
          <w:kern w:val="0"/>
          <w:position w:val="-14"/>
        </w:rPr>
        <w:object>
          <v:shape id="_x0000_i1030" o:spt="75" type="#_x0000_t75" style="height:19.1pt;width:25.1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6">
            <o:LockedField>false</o:LockedField>
          </o:OLEObject>
        </w:object>
      </w:r>
      <w:r>
        <w:rPr>
          <w:rFonts w:hint="eastAsia" w:ascii="Times New Roman" w:hAnsi="Times New Roman" w:cs="Times New Roman"/>
          <w:kern w:val="0"/>
        </w:rPr>
        <w:t>、</w:t>
      </w:r>
      <w:r>
        <w:rPr>
          <w:rFonts w:ascii="Times New Roman" w:hAnsi="Times New Roman" w:cs="Times New Roman"/>
          <w:kern w:val="0"/>
          <w:position w:val="-14"/>
        </w:rPr>
        <w:object>
          <v:shape id="_x0000_i1031" o:spt="75" type="#_x0000_t75" style="height:19.1pt;width:25.1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8">
            <o:LockedField>false</o:LockedField>
          </o:OLEObject>
        </w:object>
      </w:r>
      <w:r>
        <w:rPr>
          <w:rFonts w:hint="eastAsia" w:ascii="Times New Roman" w:hAnsi="Times New Roman" w:cs="Times New Roman"/>
          <w:kern w:val="0"/>
        </w:rPr>
        <w:t>、</w:t>
      </w:r>
      <w:r>
        <w:rPr>
          <w:rFonts w:ascii="Times New Roman" w:hAnsi="Times New Roman" w:cs="Times New Roman"/>
          <w:kern w:val="0"/>
          <w:position w:val="-14"/>
        </w:rPr>
        <w:object>
          <v:shape id="_x0000_i1032" o:spt="75" type="#_x0000_t75" style="height:19.1pt;width:26.4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0">
            <o:LockedField>false</o:LockedField>
          </o:OLEObject>
        </w:object>
      </w:r>
      <w:r>
        <w:rPr>
          <w:rFonts w:hint="eastAsia"/>
        </w:rPr>
        <w:t>分别是回收酸、渗余液和硝酸废液中的铝离子浓度，mol/L；</w:t>
      </w:r>
      <w:r>
        <w:rPr>
          <w:rFonts w:ascii="Times New Roman" w:hAnsi="Times New Roman" w:cs="Times New Roman"/>
          <w:kern w:val="0"/>
          <w:position w:val="-12"/>
        </w:rPr>
        <w:object>
          <v:shape id="_x0000_i1033" o:spt="75" type="#_x0000_t75" style="height:17.1pt;width:16.0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2">
            <o:LockedField>false</o:LockedField>
          </o:OLEObject>
        </w:object>
      </w:r>
      <w:r>
        <w:rPr>
          <w:rFonts w:hint="eastAsia" w:ascii="Times New Roman" w:hAnsi="Times New Roman" w:cs="Times New Roman"/>
          <w:kern w:val="0"/>
        </w:rPr>
        <w:t>、</w:t>
      </w:r>
      <w:r>
        <w:rPr>
          <w:rFonts w:ascii="Times New Roman" w:hAnsi="Times New Roman" w:cs="Times New Roman"/>
          <w:kern w:val="0"/>
          <w:position w:val="-12"/>
        </w:rPr>
        <w:object>
          <v:shape id="_x0000_i1034" o:spt="75" type="#_x0000_t75" style="height:17.1pt;width:15.0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4">
            <o:LockedField>false</o:LockedField>
          </o:OLEObject>
        </w:object>
      </w:r>
      <w:r>
        <w:rPr>
          <w:rFonts w:hint="eastAsia" w:ascii="Times New Roman" w:hAnsi="Times New Roman" w:cs="Times New Roman"/>
          <w:kern w:val="0"/>
        </w:rPr>
        <w:t>、</w:t>
      </w:r>
      <w:r>
        <w:rPr>
          <w:rFonts w:ascii="Times New Roman" w:hAnsi="Times New Roman" w:cs="Times New Roman"/>
          <w:kern w:val="0"/>
          <w:position w:val="-14"/>
        </w:rPr>
        <w:object>
          <v:shape id="_x0000_i1035" o:spt="75" type="#_x0000_t75" style="height:19.1pt;width:17.1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6">
            <o:LockedField>false</o:LockedField>
          </o:OLEObject>
        </w:object>
      </w:r>
      <w:r>
        <w:rPr>
          <w:rFonts w:hint="eastAsia"/>
        </w:rPr>
        <w:t>分别是回收液、渗余液和硝酸废液的体积流量，L/h。</w:t>
      </w:r>
    </w:p>
    <w:p w14:paraId="5BDC3AF4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3结论</w:t>
      </w:r>
    </w:p>
    <w:p w14:paraId="2ACE8579">
      <w:pPr>
        <w:ind w:firstLine="420" w:firstLineChars="200"/>
        <w:rPr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是全文的归结，是试验、观测结果和理论分析的逻辑发展；是综合说明全文结果的科学意义。应写得象法律条文，即只有一种解释，不能模棱两可，不用“大概、也许、可能”等词。应简练，不用“通过理论分析和实验验证可得如下结论”等废话。要注意分寸，不要夸大其词，牵强附会；不要自我评价，如“本研究结果属国内首创”等。“没有讨论和建议”时不要勉强拼凑。</w:t>
      </w:r>
    </w:p>
    <w:p w14:paraId="4FE33CD6">
      <w:pPr>
        <w:ind w:firstLine="420" w:firstLineChars="200"/>
        <w:rPr>
          <w:color w:val="4F81BD" w:themeColor="accent1"/>
          <w14:textFill>
            <w14:solidFill>
              <w14:schemeClr w14:val="accent1"/>
            </w14:solidFill>
          </w14:textFill>
        </w:rPr>
      </w:pPr>
    </w:p>
    <w:p w14:paraId="5BA1BB54">
      <w:r>
        <w:rPr>
          <w:rFonts w:hint="eastAsia"/>
        </w:rPr>
        <w:t>参考文献：</w:t>
      </w:r>
    </w:p>
    <w:p w14:paraId="669C5A55">
      <w:pPr>
        <w:rPr>
          <w:color w:val="4F81BD" w:themeColor="accent1"/>
          <w:sz w:val="18"/>
          <w:szCs w:val="18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FF0000"/>
          <w:sz w:val="18"/>
          <w:szCs w:val="18"/>
        </w:rPr>
        <w:t>（小5宋体）</w:t>
      </w:r>
      <w:r>
        <w:rPr>
          <w:rFonts w:hint="eastAsia"/>
          <w:color w:val="4F81BD" w:themeColor="accent1"/>
          <w:sz w:val="18"/>
          <w:szCs w:val="18"/>
          <w14:textFill>
            <w14:solidFill>
              <w14:schemeClr w14:val="accent1"/>
            </w14:solidFill>
          </w14:textFill>
        </w:rPr>
        <w:t>按照以下格式：</w:t>
      </w:r>
    </w:p>
    <w:p w14:paraId="17426066">
      <w:pPr>
        <w:rPr>
          <w:color w:val="4F81BD" w:themeColor="accent1"/>
          <w:sz w:val="18"/>
          <w:szCs w:val="18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4F81BD" w:themeColor="accent1"/>
          <w:sz w:val="18"/>
          <w:szCs w:val="18"/>
          <w14:textFill>
            <w14:solidFill>
              <w14:schemeClr w14:val="accent1"/>
            </w14:solidFill>
          </w14:textFill>
        </w:rPr>
        <w:t>1、期刊</w:t>
      </w:r>
    </w:p>
    <w:p w14:paraId="6878E3A5">
      <w:pPr>
        <w:rPr>
          <w:color w:val="4F81BD" w:themeColor="accent1"/>
          <w:sz w:val="18"/>
          <w:szCs w:val="18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4F81BD" w:themeColor="accent1"/>
          <w:sz w:val="18"/>
          <w:szCs w:val="18"/>
          <w14:textFill>
            <w14:solidFill>
              <w14:schemeClr w14:val="accent1"/>
            </w14:solidFill>
          </w14:textFill>
        </w:rPr>
        <w:t>[序号]作者. 文章标题[J]. 刊名, 出版年, 卷(期): 页码.</w:t>
      </w:r>
    </w:p>
    <w:p w14:paraId="00C232CC">
      <w:pPr>
        <w:rPr>
          <w:color w:val="4F81BD" w:themeColor="accent1"/>
          <w:sz w:val="18"/>
          <w:szCs w:val="18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4F81BD" w:themeColor="accent1"/>
          <w:sz w:val="18"/>
          <w:szCs w:val="18"/>
          <w14:textFill>
            <w14:solidFill>
              <w14:schemeClr w14:val="accent1"/>
            </w14:solidFill>
          </w14:textFill>
        </w:rPr>
        <w:t>举例</w:t>
      </w:r>
    </w:p>
    <w:p w14:paraId="35236745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[1] 徐国荣, 王生辉, 赵河立,等. 海水淡化聚酰胺复合反渗透膜的发展趋势与展望[J]. 膜科学与技术, 2015, 35(5):122-126.</w:t>
      </w:r>
    </w:p>
    <w:p w14:paraId="2A3D8D8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[2]</w:t>
      </w:r>
      <w:r>
        <w:rPr>
          <w:sz w:val="18"/>
          <w:szCs w:val="18"/>
        </w:rPr>
        <w:t xml:space="preserve"> Yang X, Wang R, Shi L, </w:t>
      </w:r>
      <w:r>
        <w:rPr>
          <w:i/>
          <w:sz w:val="18"/>
          <w:szCs w:val="18"/>
        </w:rPr>
        <w:t>et al</w:t>
      </w:r>
      <w:r>
        <w:rPr>
          <w:sz w:val="18"/>
          <w:szCs w:val="18"/>
        </w:rPr>
        <w:t>. Performance improvement of PVDF hollow fiber-based membrane distillation process[J]. J Membr Sci, 2011, 369(1</w:t>
      </w:r>
      <w:r>
        <w:rPr>
          <w:rFonts w:hint="eastAsia"/>
          <w:sz w:val="18"/>
          <w:szCs w:val="18"/>
        </w:rPr>
        <w:t>/</w:t>
      </w:r>
      <w:r>
        <w:rPr>
          <w:sz w:val="18"/>
          <w:szCs w:val="18"/>
        </w:rPr>
        <w:t>2):437-447.</w:t>
      </w:r>
    </w:p>
    <w:p w14:paraId="166B094A">
      <w:pPr>
        <w:rPr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2、图书</w:t>
      </w:r>
    </w:p>
    <w:p w14:paraId="23500F2C">
      <w:pPr>
        <w:rPr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[序号]作者. 题名[M]// 出版地: 出版者, 出版年: 页码.</w:t>
      </w:r>
    </w:p>
    <w:p w14:paraId="5162DE6B">
      <w:r>
        <w:rPr>
          <w:rFonts w:hint="eastAsia"/>
        </w:rPr>
        <w:t>[3]</w:t>
      </w:r>
      <w:r>
        <w:rPr>
          <w:rFonts w:hint="eastAsia"/>
        </w:rPr>
        <w:tab/>
      </w:r>
      <w:r>
        <w:rPr>
          <w:rFonts w:hint="eastAsia"/>
        </w:rPr>
        <w:t>米尔德. 膜技术基本原理[M]// 北京: 清华大学出版社, 1999: 221.</w:t>
      </w:r>
    </w:p>
    <w:p w14:paraId="58FB7F61">
      <w:pPr>
        <w:rPr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3、论文集</w:t>
      </w:r>
    </w:p>
    <w:p w14:paraId="43529FED">
      <w:pPr>
        <w:rPr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[序号]作者. 文章标题[C]//文集名. 出版者, 出版年: 页码.</w:t>
      </w:r>
    </w:p>
    <w:p w14:paraId="53CE3252">
      <w:r>
        <w:rPr>
          <w:rFonts w:hint="eastAsia"/>
        </w:rPr>
        <w:t>[4]  秦余春, 李保安. 换热器用复合材料中空纤维的制备[C]// 中国膜科学与技术报告会. 中国膜工业协会, 2010.</w:t>
      </w:r>
    </w:p>
    <w:p w14:paraId="286D4ADC">
      <w:pPr>
        <w:rPr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4、专利</w:t>
      </w:r>
    </w:p>
    <w:p w14:paraId="03DD8FF3">
      <w:pPr>
        <w:rPr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[序号]申请者.专利题名[P].国别，专利文献种类，专利号.出版（或申请）年月日.</w:t>
      </w:r>
    </w:p>
    <w:p w14:paraId="65E80F54">
      <w:pPr>
        <w:rPr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5、标准</w:t>
      </w:r>
    </w:p>
    <w:p w14:paraId="12A0F03F">
      <w:pPr>
        <w:rPr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[序号]发布单位.技术标准代号 技术标准名称[S].出版地：出版者，出版年，页码.</w:t>
      </w:r>
    </w:p>
    <w:p w14:paraId="432D557D">
      <w:r>
        <w:rPr>
          <w:rFonts w:hint="eastAsia"/>
        </w:rPr>
        <w:t>[5]</w:t>
      </w:r>
      <w:r>
        <w:rPr>
          <w:rFonts w:hint="eastAsia"/>
        </w:rPr>
        <w:tab/>
      </w:r>
      <w:r>
        <w:rPr>
          <w:rFonts w:hint="eastAsia"/>
        </w:rPr>
        <w:t>中华人民共和国国家质量监督检验检疫总局. GB/T 7714—2015 信息与文献[S]. 北京: 中国标准出版社, 2015.</w:t>
      </w:r>
    </w:p>
    <w:p w14:paraId="3D356385">
      <w:pPr>
        <w:rPr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6、学位论文与科技报告</w:t>
      </w:r>
    </w:p>
    <w:p w14:paraId="4437A741">
      <w:pPr>
        <w:rPr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[序号]作者. 论文或报告名称[D]. 出版地: 出版者, 出版年.</w:t>
      </w:r>
    </w:p>
    <w:p w14:paraId="26183C76">
      <w:r>
        <w:rPr>
          <w:rFonts w:hint="eastAsia"/>
        </w:rPr>
        <w:t>[6]</w:t>
      </w:r>
      <w:r>
        <w:rPr>
          <w:rFonts w:hint="eastAsia"/>
        </w:rPr>
        <w:tab/>
      </w:r>
      <w:r>
        <w:rPr>
          <w:rFonts w:hint="eastAsia"/>
        </w:rPr>
        <w:t>谭雷. 煤气甲烷化反应器数学模拟[D]. 上海: 华东理工大学, 2013.</w:t>
      </w:r>
    </w:p>
    <w:p w14:paraId="0AD43829">
      <w:pPr>
        <w:rPr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7、电子文献</w:t>
      </w:r>
    </w:p>
    <w:p w14:paraId="0A7B46B4">
      <w:pPr>
        <w:rPr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[序号]主要责任者. 题名[</w:t>
      </w:r>
      <w:r>
        <w:rPr>
          <w:color w:val="4F81BD" w:themeColor="accent1"/>
          <w14:textFill>
            <w14:solidFill>
              <w14:schemeClr w14:val="accent1"/>
            </w14:solidFill>
          </w14:textFill>
        </w:rPr>
        <w:t>EB/OL</w:t>
      </w: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]. 出版地: 出版者, 出版年[引用日期]. 获取和访问路径.</w:t>
      </w:r>
    </w:p>
    <w:p w14:paraId="365417A5">
      <w:r>
        <w:t>[</w:t>
      </w:r>
      <w:r>
        <w:rPr>
          <w:rFonts w:hint="eastAsia"/>
        </w:rPr>
        <w:t>7</w:t>
      </w:r>
      <w:r>
        <w:t>]</w:t>
      </w:r>
      <w:r>
        <w:tab/>
      </w:r>
      <w:r>
        <w:t>Online Computer Library Center, Inc. About OCLC: history of cooperation[EB/OL]. [2012-03-27]. http://www. oclc.org/ about/cooperation.en.html.</w:t>
      </w:r>
    </w:p>
    <w:p w14:paraId="531BEDE1">
      <w:pPr>
        <w:jc w:val="center"/>
      </w:pPr>
    </w:p>
    <w:p w14:paraId="7181C1E1"/>
    <w:p w14:paraId="19F7B938">
      <w:pPr>
        <w:jc w:val="center"/>
      </w:pPr>
    </w:p>
    <w:p w14:paraId="4F896326">
      <w:pPr>
        <w:jc w:val="center"/>
      </w:pPr>
      <w:r>
        <w:rPr>
          <w:rFonts w:hint="eastAsia"/>
        </w:rPr>
        <w:t>题目（英文）</w:t>
      </w:r>
    </w:p>
    <w:p w14:paraId="64AD7F6B">
      <w:pPr>
        <w:jc w:val="center"/>
      </w:pPr>
      <w:r>
        <w:rPr>
          <w:rFonts w:hint="eastAsia"/>
        </w:rPr>
        <w:t>作者（英文）</w:t>
      </w: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例：LI Lei, HAN Meimei 通讯作者不需要加星号</w:t>
      </w:r>
    </w:p>
    <w:p w14:paraId="6EFE2B2C">
      <w:pPr>
        <w:jc w:val="center"/>
      </w:pPr>
      <w:r>
        <w:rPr>
          <w:rFonts w:hint="eastAsia"/>
        </w:rPr>
        <w:t>单位（英文）</w:t>
      </w:r>
    </w:p>
    <w:p w14:paraId="27CB2821">
      <w:pPr>
        <w:rPr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/>
        </w:rPr>
        <w:t>Abstract:</w:t>
      </w: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英文摘要符合英文语法的文字语言、逻辑思维清晰，英文语法正确、用词的准确专业，不能只是逐字逐句翻译中文摘要，必须包含目的、方法、结果、结论。</w:t>
      </w:r>
    </w:p>
    <w:p w14:paraId="37CF3841">
      <w:r>
        <w:rPr>
          <w:rFonts w:hint="eastAsia"/>
        </w:rPr>
        <w:t>Key words:</w:t>
      </w:r>
      <w:r>
        <w:rPr>
          <w:rFonts w:hint="eastAsia"/>
          <w:color w:val="4F81BD" w:themeColor="accent1"/>
          <w14:textFill>
            <w14:solidFill>
              <w14:schemeClr w14:val="accent1"/>
            </w14:solidFill>
          </w14:textFill>
        </w:rPr>
        <w:t>与中文关键词一致，选词准确专业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33D3F148">
      <w:pPr>
        <w:pStyle w:val="16"/>
      </w:pPr>
      <w:r>
        <w:rPr>
          <w:rFonts w:hint="eastAsia"/>
        </w:rPr>
        <w:t>收稿日期：0000-00-00；修改稿收到日期：0000-00-00</w:t>
      </w:r>
    </w:p>
    <w:p w14:paraId="64DC2DEC">
      <w:pPr>
        <w:pStyle w:val="16"/>
      </w:pPr>
      <w:r>
        <w:rPr>
          <w:rFonts w:hint="eastAsia"/>
        </w:rPr>
        <w:t>基金项目：项目来源“项目名称”（项目编号）。（一般不接受无项目资助的论文，除非具有重大学术价值。）</w:t>
      </w:r>
    </w:p>
    <w:p w14:paraId="6DDA9D9C">
      <w:pPr>
        <w:pStyle w:val="16"/>
      </w:pPr>
      <w:r>
        <w:rPr>
          <w:rFonts w:hint="eastAsia"/>
        </w:rPr>
        <w:t>第一作者简介：姓名（出生年份-），性别，籍贯，职称，学历，学位，研究方向，E-mail：***@*****</w:t>
      </w:r>
    </w:p>
    <w:p w14:paraId="76DD5292">
      <w:pPr>
        <w:pStyle w:val="16"/>
      </w:pPr>
      <w:r>
        <w:rPr>
          <w:rFonts w:hint="eastAsia"/>
        </w:rPr>
        <w:t>通讯作者，E-mail：***@*****  (若没有通讯作者或通讯作者与第一作者为同一人，不需要此简介)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7B2"/>
    <w:rsid w:val="000466F4"/>
    <w:rsid w:val="0005609A"/>
    <w:rsid w:val="00065EA7"/>
    <w:rsid w:val="00090048"/>
    <w:rsid w:val="00090E0D"/>
    <w:rsid w:val="000B6894"/>
    <w:rsid w:val="000C5A6A"/>
    <w:rsid w:val="0010559E"/>
    <w:rsid w:val="00131D21"/>
    <w:rsid w:val="001340C5"/>
    <w:rsid w:val="00140FA8"/>
    <w:rsid w:val="00152141"/>
    <w:rsid w:val="00176046"/>
    <w:rsid w:val="00184FFD"/>
    <w:rsid w:val="001B3192"/>
    <w:rsid w:val="001F3EF1"/>
    <w:rsid w:val="00211E7E"/>
    <w:rsid w:val="00265609"/>
    <w:rsid w:val="002E5DAA"/>
    <w:rsid w:val="002F156C"/>
    <w:rsid w:val="003177C5"/>
    <w:rsid w:val="003A5B4A"/>
    <w:rsid w:val="003E1531"/>
    <w:rsid w:val="00402919"/>
    <w:rsid w:val="004077A9"/>
    <w:rsid w:val="004168C2"/>
    <w:rsid w:val="004916F8"/>
    <w:rsid w:val="00492054"/>
    <w:rsid w:val="004A29F0"/>
    <w:rsid w:val="004D2FA3"/>
    <w:rsid w:val="004E56B0"/>
    <w:rsid w:val="00506FE9"/>
    <w:rsid w:val="0050704C"/>
    <w:rsid w:val="005130A9"/>
    <w:rsid w:val="00525CAC"/>
    <w:rsid w:val="00594B65"/>
    <w:rsid w:val="005A2837"/>
    <w:rsid w:val="005F0992"/>
    <w:rsid w:val="006107B2"/>
    <w:rsid w:val="006139B9"/>
    <w:rsid w:val="00614C27"/>
    <w:rsid w:val="00642799"/>
    <w:rsid w:val="00660108"/>
    <w:rsid w:val="00667A1D"/>
    <w:rsid w:val="006C1B80"/>
    <w:rsid w:val="006C4D22"/>
    <w:rsid w:val="006E6FC7"/>
    <w:rsid w:val="006F3523"/>
    <w:rsid w:val="0072272F"/>
    <w:rsid w:val="00726CDC"/>
    <w:rsid w:val="007435F9"/>
    <w:rsid w:val="00745BDC"/>
    <w:rsid w:val="0075136F"/>
    <w:rsid w:val="007565F3"/>
    <w:rsid w:val="00764BF4"/>
    <w:rsid w:val="00776CC2"/>
    <w:rsid w:val="00791128"/>
    <w:rsid w:val="007A3E18"/>
    <w:rsid w:val="007A701E"/>
    <w:rsid w:val="007E7E0D"/>
    <w:rsid w:val="00876597"/>
    <w:rsid w:val="0087693A"/>
    <w:rsid w:val="00882F9A"/>
    <w:rsid w:val="008A17FE"/>
    <w:rsid w:val="008A781D"/>
    <w:rsid w:val="008D422F"/>
    <w:rsid w:val="00901F85"/>
    <w:rsid w:val="00975DCE"/>
    <w:rsid w:val="009C025D"/>
    <w:rsid w:val="009C4770"/>
    <w:rsid w:val="009E35DB"/>
    <w:rsid w:val="00A059DA"/>
    <w:rsid w:val="00A060C3"/>
    <w:rsid w:val="00A11434"/>
    <w:rsid w:val="00A13E2A"/>
    <w:rsid w:val="00A4404E"/>
    <w:rsid w:val="00A7451F"/>
    <w:rsid w:val="00A80B4B"/>
    <w:rsid w:val="00A87AB2"/>
    <w:rsid w:val="00AA4FAB"/>
    <w:rsid w:val="00AC086A"/>
    <w:rsid w:val="00AC1ADD"/>
    <w:rsid w:val="00AD5721"/>
    <w:rsid w:val="00AE132F"/>
    <w:rsid w:val="00AE1344"/>
    <w:rsid w:val="00B00EB1"/>
    <w:rsid w:val="00B4101D"/>
    <w:rsid w:val="00B52629"/>
    <w:rsid w:val="00B72FA2"/>
    <w:rsid w:val="00B84C24"/>
    <w:rsid w:val="00B976CB"/>
    <w:rsid w:val="00BB2D9E"/>
    <w:rsid w:val="00BC7747"/>
    <w:rsid w:val="00C025FA"/>
    <w:rsid w:val="00C0765C"/>
    <w:rsid w:val="00C23FFF"/>
    <w:rsid w:val="00C31A78"/>
    <w:rsid w:val="00C33E15"/>
    <w:rsid w:val="00C37529"/>
    <w:rsid w:val="00CA358F"/>
    <w:rsid w:val="00CC39AD"/>
    <w:rsid w:val="00D01AFE"/>
    <w:rsid w:val="00D223F3"/>
    <w:rsid w:val="00D41CE7"/>
    <w:rsid w:val="00D4431F"/>
    <w:rsid w:val="00D6192B"/>
    <w:rsid w:val="00D65B8D"/>
    <w:rsid w:val="00D86E12"/>
    <w:rsid w:val="00DA7E53"/>
    <w:rsid w:val="00DC46F8"/>
    <w:rsid w:val="00DC4FF6"/>
    <w:rsid w:val="00E144C6"/>
    <w:rsid w:val="00E162CF"/>
    <w:rsid w:val="00E2316C"/>
    <w:rsid w:val="00E74EA8"/>
    <w:rsid w:val="00E85344"/>
    <w:rsid w:val="00EC5A52"/>
    <w:rsid w:val="00EC6066"/>
    <w:rsid w:val="00EE07B2"/>
    <w:rsid w:val="00EF480A"/>
    <w:rsid w:val="00F05326"/>
    <w:rsid w:val="00F1754A"/>
    <w:rsid w:val="00F2250B"/>
    <w:rsid w:val="00F42917"/>
    <w:rsid w:val="00F444C6"/>
    <w:rsid w:val="00F50942"/>
    <w:rsid w:val="00F52D5B"/>
    <w:rsid w:val="00F604B0"/>
    <w:rsid w:val="00F62D3E"/>
    <w:rsid w:val="00F6420E"/>
    <w:rsid w:val="00F75F27"/>
    <w:rsid w:val="00F85609"/>
    <w:rsid w:val="00F8687C"/>
    <w:rsid w:val="00F9256C"/>
    <w:rsid w:val="00FA095F"/>
    <w:rsid w:val="00FA3E9D"/>
    <w:rsid w:val="00FB3A86"/>
    <w:rsid w:val="012E6970"/>
    <w:rsid w:val="076532D4"/>
    <w:rsid w:val="07CA38D3"/>
    <w:rsid w:val="08CC67C9"/>
    <w:rsid w:val="12F971C9"/>
    <w:rsid w:val="181B5077"/>
    <w:rsid w:val="26D20FF7"/>
    <w:rsid w:val="35174BA9"/>
    <w:rsid w:val="35C12962"/>
    <w:rsid w:val="42324DA6"/>
    <w:rsid w:val="4C1E4213"/>
    <w:rsid w:val="4FBD1F95"/>
    <w:rsid w:val="50306C0B"/>
    <w:rsid w:val="5314426D"/>
    <w:rsid w:val="56A243B3"/>
    <w:rsid w:val="5A2A21F6"/>
    <w:rsid w:val="5C6C3B87"/>
    <w:rsid w:val="5D281324"/>
    <w:rsid w:val="5DD967A3"/>
    <w:rsid w:val="60C70084"/>
    <w:rsid w:val="6174770C"/>
    <w:rsid w:val="642301C1"/>
    <w:rsid w:val="68C161FA"/>
    <w:rsid w:val="69F82011"/>
    <w:rsid w:val="6A3F3C83"/>
    <w:rsid w:val="6BB206A8"/>
    <w:rsid w:val="6BCF3FC4"/>
    <w:rsid w:val="6C483AC1"/>
    <w:rsid w:val="6E371853"/>
    <w:rsid w:val="70053434"/>
    <w:rsid w:val="73230B65"/>
    <w:rsid w:val="746F1200"/>
    <w:rsid w:val="74C13CF7"/>
    <w:rsid w:val="7AF91AB1"/>
    <w:rsid w:val="7FDFB29E"/>
    <w:rsid w:val="FDFE3B31"/>
    <w:rsid w:val="FFBB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8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30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1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2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8"/>
    <w:semiHidden/>
    <w:unhideWhenUsed/>
    <w:qFormat/>
    <w:uiPriority w:val="99"/>
    <w:pPr>
      <w:jc w:val="left"/>
    </w:pPr>
  </w:style>
  <w:style w:type="paragraph" w:styleId="12">
    <w:name w:val="Date"/>
    <w:basedOn w:val="1"/>
    <w:next w:val="1"/>
    <w:link w:val="45"/>
    <w:semiHidden/>
    <w:unhideWhenUsed/>
    <w:qFormat/>
    <w:uiPriority w:val="99"/>
    <w:pPr>
      <w:ind w:left="100" w:leftChars="2500"/>
    </w:pPr>
  </w:style>
  <w:style w:type="paragraph" w:styleId="13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4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footnote text"/>
    <w:basedOn w:val="1"/>
    <w:link w:val="46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7">
    <w:name w:val="Title"/>
    <w:basedOn w:val="1"/>
    <w:next w:val="1"/>
    <w:link w:val="33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annotation subject"/>
    <w:basedOn w:val="11"/>
    <w:next w:val="11"/>
    <w:link w:val="49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basedOn w:val="2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21"/>
    <w:semiHidden/>
    <w:unhideWhenUsed/>
    <w:qFormat/>
    <w:uiPriority w:val="99"/>
    <w:rPr>
      <w:sz w:val="21"/>
      <w:szCs w:val="21"/>
    </w:rPr>
  </w:style>
  <w:style w:type="character" w:customStyle="1" w:styleId="24">
    <w:name w:val="标题 1 字符"/>
    <w:basedOn w:val="21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25">
    <w:name w:val="标题 2 字符"/>
    <w:basedOn w:val="21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26">
    <w:name w:val="标题 3 字符"/>
    <w:basedOn w:val="21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7">
    <w:name w:val="标题 4 字符"/>
    <w:basedOn w:val="21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8">
    <w:name w:val="标题 5 字符"/>
    <w:basedOn w:val="21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9">
    <w:name w:val="标题 6 字符"/>
    <w:basedOn w:val="21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30">
    <w:name w:val="标题 7 字符"/>
    <w:basedOn w:val="21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8 字符"/>
    <w:basedOn w:val="21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9 字符"/>
    <w:basedOn w:val="21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字符"/>
    <w:basedOn w:val="2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4">
    <w:name w:val="副标题 字符"/>
    <w:basedOn w:val="21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5">
    <w:name w:val="Quote"/>
    <w:basedOn w:val="1"/>
    <w:next w:val="1"/>
    <w:link w:val="36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用 字符"/>
    <w:basedOn w:val="21"/>
    <w:link w:val="35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List Paragraph"/>
    <w:basedOn w:val="1"/>
    <w:qFormat/>
    <w:uiPriority w:val="34"/>
    <w:pPr>
      <w:ind w:left="720"/>
      <w:contextualSpacing/>
    </w:pPr>
  </w:style>
  <w:style w:type="character" w:customStyle="1" w:styleId="38">
    <w:name w:val="明显强调1"/>
    <w:basedOn w:val="21"/>
    <w:qFormat/>
    <w:uiPriority w:val="21"/>
    <w:rPr>
      <w:i/>
      <w:iCs/>
      <w:color w:val="376092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40">
    <w:name w:val="明显引用 字符"/>
    <w:basedOn w:val="21"/>
    <w:link w:val="39"/>
    <w:qFormat/>
    <w:uiPriority w:val="30"/>
    <w:rPr>
      <w:i/>
      <w:iCs/>
      <w:color w:val="376092" w:themeColor="accent1" w:themeShade="BF"/>
    </w:rPr>
  </w:style>
  <w:style w:type="character" w:customStyle="1" w:styleId="41">
    <w:name w:val="明显参考1"/>
    <w:basedOn w:val="21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42">
    <w:name w:val="页眉 字符"/>
    <w:basedOn w:val="21"/>
    <w:link w:val="14"/>
    <w:qFormat/>
    <w:uiPriority w:val="99"/>
    <w:rPr>
      <w:sz w:val="18"/>
      <w:szCs w:val="18"/>
    </w:rPr>
  </w:style>
  <w:style w:type="character" w:customStyle="1" w:styleId="43">
    <w:name w:val="页脚 字符"/>
    <w:basedOn w:val="21"/>
    <w:link w:val="13"/>
    <w:qFormat/>
    <w:uiPriority w:val="99"/>
    <w:rPr>
      <w:sz w:val="18"/>
      <w:szCs w:val="18"/>
    </w:rPr>
  </w:style>
  <w:style w:type="character" w:customStyle="1" w:styleId="44">
    <w:name w:val="未处理的提及1"/>
    <w:basedOn w:val="2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5">
    <w:name w:val="日期 字符"/>
    <w:basedOn w:val="21"/>
    <w:link w:val="12"/>
    <w:semiHidden/>
    <w:qFormat/>
    <w:uiPriority w:val="99"/>
  </w:style>
  <w:style w:type="character" w:customStyle="1" w:styleId="46">
    <w:name w:val="脚注文本 字符"/>
    <w:basedOn w:val="21"/>
    <w:link w:val="16"/>
    <w:semiHidden/>
    <w:qFormat/>
    <w:uiPriority w:val="99"/>
    <w:rPr>
      <w:sz w:val="18"/>
      <w:szCs w:val="18"/>
    </w:rPr>
  </w:style>
  <w:style w:type="paragraph" w:customStyle="1" w:styleId="4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8">
    <w:name w:val="批注文字 字符"/>
    <w:basedOn w:val="21"/>
    <w:link w:val="11"/>
    <w:semiHidden/>
    <w:qFormat/>
    <w:uiPriority w:val="99"/>
    <w:rPr>
      <w:kern w:val="2"/>
      <w:sz w:val="21"/>
      <w:szCs w:val="22"/>
    </w:rPr>
  </w:style>
  <w:style w:type="character" w:customStyle="1" w:styleId="49">
    <w:name w:val="批注主题 字符"/>
    <w:basedOn w:val="48"/>
    <w:link w:val="18"/>
    <w:semiHidden/>
    <w:qFormat/>
    <w:uiPriority w:val="99"/>
    <w:rPr>
      <w:b/>
      <w:bCs/>
      <w:kern w:val="2"/>
      <w:sz w:val="21"/>
      <w:szCs w:val="22"/>
    </w:rPr>
  </w:style>
  <w:style w:type="character" w:customStyle="1" w:styleId="50">
    <w:name w:val="Unresolved Mention"/>
    <w:basedOn w:val="2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image" Target="media/image12.wmf"/><Relationship Id="rId26" Type="http://schemas.openxmlformats.org/officeDocument/2006/relationships/oleObject" Target="embeddings/oleObject11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0.bin"/><Relationship Id="rId23" Type="http://schemas.openxmlformats.org/officeDocument/2006/relationships/image" Target="media/image10.wmf"/><Relationship Id="rId22" Type="http://schemas.openxmlformats.org/officeDocument/2006/relationships/oleObject" Target="embeddings/oleObject9.bin"/><Relationship Id="rId21" Type="http://schemas.openxmlformats.org/officeDocument/2006/relationships/image" Target="media/image9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7.bin"/><Relationship Id="rId17" Type="http://schemas.openxmlformats.org/officeDocument/2006/relationships/image" Target="media/image7.wmf"/><Relationship Id="rId16" Type="http://schemas.openxmlformats.org/officeDocument/2006/relationships/oleObject" Target="embeddings/oleObject6.bin"/><Relationship Id="rId15" Type="http://schemas.openxmlformats.org/officeDocument/2006/relationships/image" Target="media/image6.wmf"/><Relationship Id="rId14" Type="http://schemas.openxmlformats.org/officeDocument/2006/relationships/oleObject" Target="embeddings/oleObject5.bin"/><Relationship Id="rId13" Type="http://schemas.openxmlformats.org/officeDocument/2006/relationships/image" Target="media/image5.wmf"/><Relationship Id="rId12" Type="http://schemas.openxmlformats.org/officeDocument/2006/relationships/oleObject" Target="embeddings/oleObject4.bin"/><Relationship Id="rId11" Type="http://schemas.openxmlformats.org/officeDocument/2006/relationships/image" Target="media/image4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1985</Words>
  <Characters>2303</Characters>
  <Lines>48</Lines>
  <Paragraphs>13</Paragraphs>
  <TotalTime>160</TotalTime>
  <ScaleCrop>false</ScaleCrop>
  <LinksUpToDate>false</LinksUpToDate>
  <CharactersWithSpaces>2480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2026-03-10T01:35:00Z</dcterms:created>
  <dc:creator>Qin Chen</dc:creator>
  <cp:lastModifiedBy>Fairy</cp:lastModifiedBy>
  <dcterms:modified xsi:type="dcterms:W3CDTF">2026-03-12T08:22:00Z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eyJoZGlkIjoiZmZlYzdjNWI2Nzg4YmFlYzQyZGZmYWUwNjNhNjQ0MGEiLCJ1c2VySWQiOiIyODAwNDA3MjIifQ==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2D973CA6BEDF495D9CC385C72E6E201D_13</vt:lpwstr>
  </property>
</Properties>
</file>